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55</w:t>
      </w:r>
    </w:p>
    <w:p>
      <w:r>
        <w:t>Bundesgericht (BGE), 1985-04-09, DE</w:t>
      </w:r>
    </w:p>
    <w:p>
      <w:r>
        <w:rPr>
          <w:b/>
        </w:rPr>
        <w:t xml:space="preserve">Quelle: </w:t>
      </w:r>
      <w:r>
        <w:t>https://mcp.opencaselaw.ch/entscheid/bge_111 III 55</w:t>
      </w:r>
    </w:p>
    <w:p>
      <w:r>
        <w:t>FR: ATF 111 III 55</w:t>
      </w:r>
    </w:p>
    <w:p>
      <w:r>
        <w:t>IT: DTF 111 III 55</w:t>
      </w:r>
    </w:p>
    <w:p>
      <w:pPr>
        <w:pStyle w:val="Heading2"/>
      </w:pPr>
      <w:r>
        <w:t>Regeste</w:t>
      </w:r>
    </w:p>
    <w:p>
      <w:r>
        <w:t>Regeste Art. 92 Ziff. 1 SchKG; Pfändbarkeit von Möbeln, an denen Drittansprachen geltend gemacht werden. Das Betreibungsamt kann Möbel des Schuldners, auf die er unbedingt angewiesen ist, zu Kompetenzstücken erklären, auch wenn sie von Dritten als Eigentum beansprucht werden.</w:t>
      </w:r>
    </w:p>
    <w:p>
      <w:pPr>
        <w:pStyle w:val="Heading2"/>
      </w:pPr>
      <w:r>
        <w:t>Erwägungen</w:t>
      </w:r>
    </w:p>
    <w:p>
      <w:r>
        <w:rPr>
          <w:b/>
        </w:rPr>
        <w:t>E. 2</w:t>
      </w:r>
    </w:p>
    <w:p>
      <w:r>
        <w:t>Im vorliegenden Fall hat der Rekurrent die Unpfändbarkeit von Möbeln und Gegenständen geltend gemacht, die ihm einerseits zum persönlichen Gebrauch dienen und die er anderseits für die Berufsausübung als Rechtsberater benötige. Zum persönlichen Gebrauch hat ihm das Konkursamt bzw. die untere Aufsichtsbehörde ein Bett, zwei Nachttischchen, einen Tisch mit drei Stühlen und einen Kleiderschrank und damit das Allernotwendigste belassen. Dass diese Möbel von Dritten als Eigentum beansprucht werden, ist ohne Belang. Da sie infolge ihrer Unpfändbarkeit nicht verwertet werden können, braucht sich das Konkursamt keine Gedanken darüber zu machen, ob sie auch tatsächlich dem Schuldner gehören oder nicht. Sollte der Drittansprecher sie der Verfügung des Schuldners entziehen, so geschieht dies nicht im Rahmen der Betreibung, sondern aufgrund des Willensentschlusses einer Drittperson, auf die das Konkursamt keinen Einfluss nehmen kann. Besitzt der Schuldner nicht einmal die zum Leben unbedingt notwendigen Möbel und Gegenstände, so ist es weder Sache des Konkursamtes noch der betreibenden Gläubiger, ihm diese zu liefern. Im übrigen ist zu beachten, dass für die Bestimmung der Kompetenzqualität nach feststehender Rechtsprechung die Verhältnisse im Zeitpunkt der Pfändung oder der Inventaraufnahme massgebend sind ( BGE 108 III 67 E. 2 i.f., BGE 98 III 32 , BGE 97 III 53 E. 1 und 59 E. 3). Im vorliegenden Fall steht fest, dass der Rekurrent im Zeitpunkt der Inventaraufnahme noch über die zum Leben unbedingt notwendigen Möbel verfügte, die denn auch vom Konkursamt und von der untern Aufsichtsbehörde als unpfändbar erklärt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